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rFonts w:cs="Times New Roman" w:ascii="Times New Roman" w:hAnsi="Times New Roman"/>
          <w:b/>
          <w:bCs/>
          <w:sz w:val="30"/>
          <w:szCs w:val="30"/>
          <w:rtl w:val="true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 xml:space="preserve">بسم الله الرحمن الرحيم 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زمالة المحاسبيين القانونيين السودانية</w:t>
      </w:r>
    </w:p>
    <w:p>
      <w:pPr>
        <w:pStyle w:val="Normal"/>
        <w:bidi w:val="1"/>
        <w:jc w:val="center"/>
        <w:rPr/>
      </w:pP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 xml:space="preserve">المستوي </w:t>
      </w:r>
      <w:r>
        <w:rPr>
          <w:rFonts w:ascii="Times New Roman" w:hAnsi="Times New Roman" w:cs="Times New Roman"/>
          <w:b/>
          <w:b/>
          <w:bCs/>
          <w:sz w:val="30"/>
          <w:sz w:val="30"/>
          <w:szCs w:val="30"/>
          <w:rtl w:val="true"/>
        </w:rPr>
        <w:t>الثالث إختياري</w:t>
      </w:r>
    </w:p>
    <w:p>
      <w:pPr>
        <w:pStyle w:val="Normal"/>
        <w:bidi w:val="1"/>
        <w:jc w:val="center"/>
        <w:rPr>
          <w:rFonts w:ascii="Times New Roman" w:hAnsi="Times New Roman" w:cs="Times New Roman"/>
          <w:b/>
          <w:b/>
          <w:bCs/>
          <w:sz w:val="30"/>
          <w:szCs w:val="30"/>
        </w:rPr>
      </w:pPr>
      <w:r>
        <w:rPr>
          <w:rtl w:val="true"/>
        </w:rPr>
      </w:r>
    </w:p>
    <w:p>
      <w:pPr>
        <w:pStyle w:val="Normal"/>
        <w:bidi w:val="1"/>
        <w:ind w:left="360" w:hanging="0"/>
        <w:jc w:val="center"/>
        <w:rPr/>
      </w:pPr>
      <w:r>
        <w:rPr>
          <w:b/>
          <w:b/>
          <w:bCs/>
          <w:sz w:val="26"/>
          <w:sz w:val="26"/>
          <w:szCs w:val="26"/>
          <w:rtl w:val="true"/>
        </w:rPr>
        <w:t xml:space="preserve">الإدارة </w:t>
      </w:r>
      <w:r>
        <w:rPr>
          <w:rFonts w:cs="Times New Roman"/>
          <w:b/>
          <w:b/>
          <w:bCs/>
          <w:sz w:val="26"/>
          <w:sz w:val="26"/>
          <w:szCs w:val="26"/>
          <w:rtl w:val="true"/>
        </w:rPr>
        <w:t>المالية المتقدمة</w:t>
      </w:r>
      <w:r>
        <w:rPr>
          <w:b/>
          <w:b/>
          <w:bCs/>
          <w:sz w:val="26"/>
          <w:sz w:val="26"/>
          <w:szCs w:val="26"/>
          <w:rtl w:val="true"/>
        </w:rPr>
        <w:t xml:space="preserve"> </w:t>
      </w:r>
      <w:r>
        <w:rPr>
          <w:b/>
          <w:bCs/>
          <w:sz w:val="26"/>
          <w:szCs w:val="26"/>
        </w:rPr>
        <w:t>Advanced  Financial  Managment                                  P4</w:t>
      </w:r>
      <w:r>
        <w:rPr>
          <w:b/>
          <w:bCs/>
          <w:sz w:val="26"/>
          <w:szCs w:val="26"/>
          <w:rtl w:val="true"/>
        </w:rPr>
        <w:t xml:space="preserve">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المحتويات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A</w:t>
      </w:r>
      <w:r>
        <w:rPr>
          <w:sz w:val="28"/>
          <w:szCs w:val="28"/>
          <w:rtl w:val="true"/>
        </w:rPr>
        <w:t xml:space="preserve"> </w:t>
      </w:r>
      <w:r>
        <w:rPr>
          <w:b/>
          <w:bCs/>
          <w:sz w:val="28"/>
          <w:szCs w:val="28"/>
          <w:rtl w:val="true"/>
        </w:rPr>
        <w:t xml:space="preserve">– </w:t>
      </w:r>
      <w:r>
        <w:rPr>
          <w:b/>
          <w:b/>
          <w:bCs/>
          <w:sz w:val="28"/>
          <w:sz w:val="28"/>
          <w:szCs w:val="28"/>
          <w:rtl w:val="true"/>
        </w:rPr>
        <w:t>الوظائف والمسئوليات  تجاه  أصحاب المصلحة</w:t>
      </w:r>
    </w:p>
    <w:p>
      <w:pPr>
        <w:pStyle w:val="ListParagraph"/>
        <w:numPr>
          <w:ilvl w:val="0"/>
          <w:numId w:val="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دور ومسئوليات  المدير المالى </w:t>
      </w:r>
      <w:r>
        <w:rPr>
          <w:sz w:val="28"/>
          <w:szCs w:val="28"/>
          <w:rtl w:val="true"/>
        </w:rPr>
        <w:t xml:space="preserve">/ </w:t>
      </w:r>
      <w:r>
        <w:rPr>
          <w:sz w:val="28"/>
          <w:sz w:val="28"/>
          <w:szCs w:val="28"/>
          <w:rtl w:val="true"/>
        </w:rPr>
        <w:t>المستثار المالى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صياغة الاستراتيجية المالية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>تضارب مصلحة أصحاب المصالح</w:t>
      </w:r>
    </w:p>
    <w:p>
      <w:pPr>
        <w:pStyle w:val="ListParagraph"/>
        <w:numPr>
          <w:ilvl w:val="0"/>
          <w:numId w:val="3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القضايا  الأخلاقية  في الإدارة  المالية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5</w:t>
      </w:r>
      <w:r>
        <w:rPr>
          <w:sz w:val="28"/>
          <w:szCs w:val="28"/>
          <w:rtl w:val="true"/>
        </w:rPr>
        <w:t xml:space="preserve">-  </w:t>
      </w:r>
      <w:r>
        <w:rPr>
          <w:sz w:val="28"/>
          <w:sz w:val="28"/>
          <w:szCs w:val="28"/>
          <w:rtl w:val="true"/>
        </w:rPr>
        <w:t xml:space="preserve">القضايا  البيئية  والتقرير المتكامل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</w:t>
      </w:r>
      <w:r>
        <w:rPr>
          <w:sz w:val="28"/>
          <w:szCs w:val="28"/>
        </w:rPr>
        <w:t>B</w:t>
      </w:r>
      <w:r>
        <w:rPr>
          <w:b/>
          <w:bCs/>
          <w:sz w:val="28"/>
          <w:szCs w:val="28"/>
          <w:rtl w:val="true"/>
        </w:rPr>
        <w:t xml:space="preserve">–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>أقتصاديات البيئة</w:t>
      </w:r>
      <w:r>
        <w:rPr>
          <w:b/>
          <w:b/>
          <w:bCs/>
          <w:sz w:val="28"/>
          <w:sz w:val="28"/>
          <w:szCs w:val="28"/>
          <w:rtl w:val="true"/>
        </w:rPr>
        <w:t xml:space="preserve"> للمنشات المتعددة الجنسيات</w:t>
      </w:r>
      <w:r>
        <w:rPr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إدارة التجارة الدولية والتمويل </w:t>
      </w:r>
    </w:p>
    <w:p>
      <w:pPr>
        <w:pStyle w:val="ListParagraph"/>
        <w:numPr>
          <w:ilvl w:val="0"/>
          <w:numId w:val="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استراجيات الأعمال والتخطيط  المالى للمنشات المتعددة  الجنسيات </w:t>
      </w:r>
    </w:p>
    <w:p>
      <w:pPr>
        <w:pStyle w:val="Normal"/>
        <w:bidi w:val="1"/>
        <w:ind w:left="720" w:hanging="360"/>
        <w:jc w:val="left"/>
        <w:rPr/>
      </w:pPr>
      <w:r>
        <w:rPr>
          <w:sz w:val="28"/>
          <w:szCs w:val="28"/>
        </w:rPr>
        <w:t>c</w:t>
      </w:r>
      <w:r>
        <w:rPr>
          <w:sz w:val="28"/>
          <w:szCs w:val="28"/>
          <w:rtl w:val="true"/>
        </w:rPr>
        <w:t xml:space="preserve">- </w:t>
      </w:r>
      <w:r>
        <w:rPr>
          <w:b/>
          <w:b/>
          <w:bCs/>
          <w:sz w:val="28"/>
          <w:sz w:val="28"/>
          <w:szCs w:val="28"/>
          <w:rtl w:val="true"/>
        </w:rPr>
        <w:t>تقييم  الأستثمار المتقدم</w:t>
      </w:r>
      <w:r>
        <w:rPr>
          <w:sz w:val="28"/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تقنيات  التدفقات  النقدية  المخصومة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تطبيق نظرية خيارات التسعير في  قرارات  الأستثمار </w:t>
      </w:r>
    </w:p>
    <w:p>
      <w:pPr>
        <w:pStyle w:val="ListParagraph"/>
        <w:numPr>
          <w:ilvl w:val="0"/>
          <w:numId w:val="5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تأثير التمويل  على  قرارات  الأستثمار  والقيمة  الحالية  المعدلة </w:t>
      </w:r>
    </w:p>
    <w:p>
      <w:pPr>
        <w:pStyle w:val="Normal"/>
        <w:bidi w:val="1"/>
        <w:ind w:left="720" w:hanging="0"/>
        <w:jc w:val="left"/>
        <w:rPr/>
      </w:pPr>
      <w:r>
        <w:rPr>
          <w:sz w:val="28"/>
          <w:szCs w:val="28"/>
        </w:rPr>
        <w:t>4</w:t>
      </w:r>
      <w:r>
        <w:rPr>
          <w:sz w:val="28"/>
          <w:sz w:val="28"/>
          <w:szCs w:val="28"/>
          <w:rtl w:val="true"/>
        </w:rPr>
        <w:t xml:space="preserve">ـ التقييم واستخدم التدفقات النقدية الحرة </w:t>
      </w:r>
    </w:p>
    <w:p>
      <w:pPr>
        <w:pStyle w:val="Normal"/>
        <w:bidi w:val="1"/>
        <w:ind w:left="720" w:hanging="0"/>
        <w:jc w:val="left"/>
        <w:rPr/>
      </w:pPr>
      <w:r>
        <w:rPr>
          <w:sz w:val="28"/>
          <w:szCs w:val="28"/>
        </w:rPr>
        <w:t>5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الاستثمار الدولى وقرارات التمويل  </w:t>
      </w:r>
    </w:p>
    <w:p>
      <w:pPr>
        <w:pStyle w:val="Normal"/>
        <w:bidi w:val="1"/>
        <w:ind w:left="720" w:hanging="0"/>
        <w:jc w:val="left"/>
        <w:rPr/>
      </w:pP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  <w:rtl w:val="true"/>
        </w:rPr>
        <w:t xml:space="preserve">- </w:t>
      </w:r>
      <w:r>
        <w:rPr>
          <w:b/>
          <w:b/>
          <w:bCs/>
          <w:sz w:val="28"/>
          <w:sz w:val="28"/>
          <w:szCs w:val="28"/>
          <w:rtl w:val="true"/>
        </w:rPr>
        <w:t xml:space="preserve">الأستحواذ والأندماج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الأستحواذ والأندماج مقابل استراتيجيات النموالأخرى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تقييم  الأستحواذ  والإندماج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الهيكل التنظيمى والعمليات </w:t>
      </w:r>
    </w:p>
    <w:p>
      <w:pPr>
        <w:pStyle w:val="ListParagraph"/>
        <w:numPr>
          <w:ilvl w:val="0"/>
          <w:numId w:val="6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تمويل الاستحواذ والاندماج </w:t>
      </w:r>
    </w:p>
    <w:p>
      <w:pPr>
        <w:pStyle w:val="Normal"/>
        <w:bidi w:val="1"/>
        <w:ind w:left="720" w:hanging="0"/>
        <w:jc w:val="left"/>
        <w:rPr/>
      </w:pPr>
      <w:r>
        <w:rPr>
          <w:sz w:val="32"/>
          <w:szCs w:val="32"/>
        </w:rPr>
        <w:t>E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>اعادة الهيكلة وا</w:t>
      </w:r>
      <w:r>
        <w:rPr>
          <w:b/>
          <w:b/>
          <w:bCs/>
          <w:sz w:val="32"/>
          <w:sz w:val="32"/>
          <w:szCs w:val="32"/>
          <w:rtl w:val="true"/>
        </w:rPr>
        <w:t>عادة التنظيم</w:t>
      </w:r>
    </w:p>
    <w:p>
      <w:pPr>
        <w:pStyle w:val="Normal"/>
        <w:bidi w:val="1"/>
        <w:ind w:left="720" w:hanging="0"/>
        <w:jc w:val="left"/>
        <w:rPr/>
      </w:pPr>
      <w:r>
        <w:rPr>
          <w:sz w:val="32"/>
          <w:szCs w:val="32"/>
        </w:rPr>
        <w:t>1</w:t>
      </w:r>
      <w:r>
        <w:rPr>
          <w:sz w:val="32"/>
          <w:szCs w:val="32"/>
          <w:rtl w:val="true"/>
        </w:rPr>
        <w:t xml:space="preserve">- </w:t>
      </w:r>
      <w:r>
        <w:rPr>
          <w:sz w:val="32"/>
          <w:sz w:val="32"/>
          <w:szCs w:val="32"/>
          <w:rtl w:val="true"/>
        </w:rPr>
        <w:t>تمويل اعادة الهيكلة</w:t>
      </w:r>
    </w:p>
    <w:p>
      <w:pPr>
        <w:pStyle w:val="Normal"/>
        <w:bidi w:val="1"/>
        <w:ind w:left="720" w:hanging="0"/>
        <w:jc w:val="left"/>
        <w:rPr/>
      </w:pPr>
      <w:r>
        <w:rPr>
          <w:sz w:val="28"/>
          <w:szCs w:val="28"/>
        </w:rPr>
        <w:t>2</w:t>
      </w:r>
      <w:r>
        <w:rPr>
          <w:sz w:val="28"/>
          <w:sz w:val="28"/>
          <w:szCs w:val="28"/>
          <w:rtl w:val="true"/>
        </w:rPr>
        <w:t xml:space="preserve">ـ أعادة تنظيم العمل </w:t>
      </w:r>
    </w:p>
    <w:p>
      <w:pPr>
        <w:pStyle w:val="Normal"/>
        <w:bidi w:val="1"/>
        <w:ind w:left="720" w:hanging="0"/>
        <w:jc w:val="left"/>
        <w:rPr/>
      </w:pPr>
      <w:r>
        <w:rPr>
          <w:b/>
          <w:bCs/>
          <w:sz w:val="32"/>
          <w:szCs w:val="32"/>
        </w:rPr>
        <w:t>F</w:t>
      </w:r>
      <w:r>
        <w:rPr>
          <w:b/>
          <w:b/>
          <w:bCs/>
          <w:sz w:val="32"/>
          <w:sz w:val="32"/>
          <w:szCs w:val="32"/>
          <w:rtl w:val="true"/>
        </w:rPr>
        <w:t xml:space="preserve">ـ تقنيات إدارة المخاطر المتطورة والأموال </w:t>
      </w:r>
    </w:p>
    <w:p>
      <w:pPr>
        <w:pStyle w:val="Normal"/>
        <w:bidi w:val="1"/>
        <w:ind w:left="720" w:hanging="0"/>
        <w:jc w:val="left"/>
        <w:rPr/>
      </w:pPr>
      <w:r>
        <w:rPr>
          <w:sz w:val="28"/>
          <w:szCs w:val="28"/>
        </w:rPr>
        <w:t>1</w:t>
      </w:r>
      <w:r>
        <w:rPr>
          <w:sz w:val="28"/>
          <w:sz w:val="28"/>
          <w:szCs w:val="28"/>
          <w:rtl w:val="true"/>
        </w:rPr>
        <w:t>ـ دور وظفية إدارة الأموال فى الشركات المتعددة الجنسية</w:t>
      </w:r>
      <w:r>
        <w:rPr>
          <w:b/>
          <w:b/>
          <w:bCs/>
          <w:sz w:val="28"/>
          <w:sz w:val="28"/>
          <w:szCs w:val="28"/>
          <w:rtl w:val="true"/>
        </w:rPr>
        <w:t xml:space="preserve"> </w:t>
      </w:r>
    </w:p>
    <w:p>
      <w:pPr>
        <w:pStyle w:val="Normal"/>
        <w:bidi w:val="1"/>
        <w:ind w:left="720" w:hanging="0"/>
        <w:jc w:val="left"/>
        <w:rPr/>
      </w:pPr>
      <w:r>
        <w:rPr>
          <w:sz w:val="28"/>
          <w:szCs w:val="28"/>
        </w:rPr>
        <w:t>2</w:t>
      </w:r>
      <w:r>
        <w:rPr>
          <w:sz w:val="28"/>
          <w:sz w:val="28"/>
          <w:szCs w:val="28"/>
          <w:rtl w:val="true"/>
        </w:rPr>
        <w:t xml:space="preserve">ـ استخدام المشتقات المالية للتحوط من مخاطر العملة الأجنبية </w:t>
      </w:r>
    </w:p>
    <w:p>
      <w:pPr>
        <w:pStyle w:val="Normal"/>
        <w:bidi w:val="1"/>
        <w:jc w:val="left"/>
        <w:rPr/>
      </w:pPr>
      <w:r>
        <w:rPr>
          <w:sz w:val="28"/>
          <w:szCs w:val="28"/>
          <w:rtl w:val="true"/>
        </w:rPr>
        <w:t xml:space="preserve">          </w:t>
      </w: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استخدام  المشتقات المالية  للتحوط  من  مخاطر  أسعار الفائدة 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  <w:rtl w:val="true"/>
        </w:rPr>
        <w:t xml:space="preserve">         </w:t>
      </w:r>
      <w:r>
        <w:rPr>
          <w:sz w:val="28"/>
          <w:szCs w:val="28"/>
          <w:rtl w:val="true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سياسة توزيع  الأرباحفى الشركات المتعددة  الجنسية  وأسعار التحويل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  <w:rtl w:val="true"/>
        </w:rPr>
        <w:t xml:space="preserve">          </w:t>
      </w:r>
      <w:r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  <w:rtl w:val="true"/>
        </w:rPr>
        <w:t xml:space="preserve">- </w:t>
      </w:r>
      <w:r>
        <w:rPr>
          <w:b/>
          <w:b/>
          <w:bCs/>
          <w:sz w:val="28"/>
          <w:sz w:val="28"/>
          <w:szCs w:val="28"/>
          <w:rtl w:val="true"/>
        </w:rPr>
        <w:t xml:space="preserve">القضايا  الراهنة للتمويل  والأدارة  المالية  </w:t>
      </w:r>
    </w:p>
    <w:p>
      <w:pPr>
        <w:pStyle w:val="ListParagraph"/>
        <w:numPr>
          <w:ilvl w:val="0"/>
          <w:numId w:val="7"/>
        </w:numPr>
        <w:tabs>
          <w:tab w:val="right" w:pos="1080" w:leader="none"/>
        </w:tabs>
        <w:bidi w:val="1"/>
        <w:spacing w:lineRule="auto" w:line="256" w:before="0" w:after="160"/>
        <w:ind w:left="720" w:hanging="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التطور في أسواق المال الدولية </w:t>
      </w:r>
    </w:p>
    <w:p>
      <w:pPr>
        <w:pStyle w:val="ListParagraph"/>
        <w:numPr>
          <w:ilvl w:val="0"/>
          <w:numId w:val="7"/>
        </w:numPr>
        <w:tabs>
          <w:tab w:val="right" w:pos="1080" w:leader="none"/>
        </w:tabs>
        <w:bidi w:val="1"/>
        <w:spacing w:lineRule="auto" w:line="254" w:before="0" w:after="160"/>
        <w:ind w:left="720" w:hanging="0"/>
        <w:contextualSpacing/>
        <w:jc w:val="left"/>
        <w:rPr/>
      </w:pPr>
      <w:r>
        <w:rPr>
          <w:sz w:val="28"/>
          <w:sz w:val="28"/>
          <w:szCs w:val="28"/>
          <w:rtl w:val="true"/>
        </w:rPr>
        <w:t>التطور في التجارة الدولية وتمويلها</w:t>
      </w:r>
    </w:p>
    <w:p>
      <w:pPr>
        <w:pStyle w:val="ListParagraph"/>
        <w:numPr>
          <w:ilvl w:val="0"/>
          <w:numId w:val="7"/>
        </w:numPr>
        <w:tabs>
          <w:tab w:val="right" w:pos="1080" w:leader="none"/>
        </w:tabs>
        <w:bidi w:val="1"/>
        <w:spacing w:lineRule="auto" w:line="254" w:before="0" w:after="160"/>
        <w:ind w:left="720" w:hanging="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التطور في التمويل الأسلامى </w:t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إدارة  الأداء المتقدمة  </w:t>
      </w:r>
      <w:r>
        <w:rPr>
          <w:b/>
          <w:bCs/>
          <w:sz w:val="28"/>
          <w:szCs w:val="28"/>
        </w:rPr>
        <w:t>P5                          Advanced Performance Management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>المــحتويات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التخطيط  والرقابة  الاستراتيجية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مقدمة  للمحاسبة  الأدارية  الأستراتيجية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إدارة  الأداء والرقابة  بالمنظمة  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التغير  في  هيكل  العمل  والمحاسبة  الأدارية  </w:t>
      </w:r>
    </w:p>
    <w:p>
      <w:pPr>
        <w:pStyle w:val="ListParagraph"/>
        <w:bidi w:val="1"/>
        <w:jc w:val="left"/>
        <w:rPr/>
      </w:pPr>
      <w:r>
        <w:rPr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تأثير  تكنلوجيا  المعلومات  على  المحاسبة  الإدارية  الأستراتيجية 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  <w:rtl w:val="true"/>
        </w:rPr>
        <w:t xml:space="preserve"> </w:t>
      </w:r>
    </w:p>
    <w:p>
      <w:pPr>
        <w:pStyle w:val="ListParagraph"/>
        <w:numPr>
          <w:ilvl w:val="0"/>
          <w:numId w:val="9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قضايا  اخلاقية  وبيئه  أخرى 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المؤثرات  الخارجية  على  اداء  المنظمة  </w:t>
      </w:r>
    </w:p>
    <w:p>
      <w:pPr>
        <w:pStyle w:val="ListParagraph"/>
        <w:numPr>
          <w:ilvl w:val="0"/>
          <w:numId w:val="1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تغيير بيئة العمل  </w:t>
      </w:r>
    </w:p>
    <w:p>
      <w:pPr>
        <w:pStyle w:val="ListParagraph"/>
        <w:numPr>
          <w:ilvl w:val="0"/>
          <w:numId w:val="10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تأثير  العوامل  الخارجية  على  الأستراتيجية  والأداء 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انظمة  قياس  وتصميم  الأداء </w:t>
      </w:r>
    </w:p>
    <w:p>
      <w:pPr>
        <w:pStyle w:val="ListParagraph"/>
        <w:numPr>
          <w:ilvl w:val="0"/>
          <w:numId w:val="1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انظمة  معلومات  ادارة  الأداء </w:t>
      </w:r>
    </w:p>
    <w:p>
      <w:pPr>
        <w:pStyle w:val="ListParagraph"/>
        <w:numPr>
          <w:ilvl w:val="0"/>
          <w:numId w:val="1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مصادر  المعلومات  الأدارية  </w:t>
      </w:r>
      <w:r>
        <w:rPr>
          <w:sz w:val="28"/>
          <w:szCs w:val="28"/>
          <w:rtl w:val="true"/>
        </w:rPr>
        <w:t>:</w:t>
      </w:r>
    </w:p>
    <w:p>
      <w:pPr>
        <w:pStyle w:val="ListParagraph"/>
        <w:numPr>
          <w:ilvl w:val="0"/>
          <w:numId w:val="11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طرق  التسجيل  والمعالجة 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32"/>
          <w:sz w:val="32"/>
          <w:szCs w:val="32"/>
          <w:rtl w:val="true"/>
        </w:rPr>
        <w:t>قياس الأداء الأستراتيجي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هيكل  الأداء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قياس الأداء  الأستراتيجى  في القطاع  الخاص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اداء الأقسام  واسعار  التمويل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معايير  الأداء الأسترااتيجية  للمنظمات  غير  الرسمية 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مؤشرات  قياس الأداء  غير المالى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دور الجودة  فى  أدارة  المعلومات  ونظام  قياس  الأداء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ادارة  الاداء  وقضايا  ادارة  الموارد  البشرية  الأستراتيجية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قياس الأداء  ونظام  الحوافز </w:t>
      </w:r>
    </w:p>
    <w:p>
      <w:pPr>
        <w:pStyle w:val="ListParagraph"/>
        <w:numPr>
          <w:ilvl w:val="0"/>
          <w:numId w:val="12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أوجه  السلوك  الأخرى  لقياس  الأداء  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Cs/>
          <w:sz w:val="28"/>
          <w:szCs w:val="28"/>
          <w:rtl w:val="true"/>
        </w:rPr>
        <w:t xml:space="preserve"> </w:t>
      </w:r>
      <w:r>
        <w:rPr>
          <w:b/>
          <w:b/>
          <w:bCs/>
          <w:sz w:val="28"/>
          <w:sz w:val="28"/>
          <w:szCs w:val="28"/>
          <w:rtl w:val="true"/>
        </w:rPr>
        <w:t xml:space="preserve">تقييم  الأداء  وفشل  الشركات  </w:t>
      </w:r>
    </w:p>
    <w:p>
      <w:pPr>
        <w:pStyle w:val="ListParagraph"/>
        <w:numPr>
          <w:ilvl w:val="0"/>
          <w:numId w:val="13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اراء  بديلة  لقياس  وادارة  الأداء  </w:t>
      </w:r>
    </w:p>
    <w:p>
      <w:pPr>
        <w:pStyle w:val="ListParagraph"/>
        <w:numPr>
          <w:ilvl w:val="0"/>
          <w:numId w:val="13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قضايا  قياس  الأستراتيجية  في  هيكل  أو نظام  عمل معقد </w:t>
      </w:r>
    </w:p>
    <w:p>
      <w:pPr>
        <w:pStyle w:val="ListParagraph"/>
        <w:numPr>
          <w:ilvl w:val="0"/>
          <w:numId w:val="13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التنبوء  ومنع  فشل  الشركات </w:t>
      </w:r>
    </w:p>
    <w:p>
      <w:pPr>
        <w:pStyle w:val="ListParagraph"/>
        <w:numPr>
          <w:ilvl w:val="0"/>
          <w:numId w:val="8"/>
        </w:numPr>
        <w:bidi w:val="1"/>
        <w:spacing w:lineRule="auto" w:line="254" w:before="0" w:after="160"/>
        <w:contextualSpacing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القضايا  الراهنة أو الناشئة  لإدارة  الأداء </w:t>
      </w:r>
    </w:p>
    <w:p>
      <w:pPr>
        <w:pStyle w:val="ListParagraph"/>
        <w:numPr>
          <w:ilvl w:val="0"/>
          <w:numId w:val="1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 xml:space="preserve">التطورات  الحالية  لتكنلوجيا  المحاسبة  الأدارية  </w:t>
      </w:r>
    </w:p>
    <w:p>
      <w:pPr>
        <w:pStyle w:val="ListParagraph"/>
        <w:numPr>
          <w:ilvl w:val="0"/>
          <w:numId w:val="14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القضايا  الحالية  والأتجاهات  في  ادارة  الأداء </w:t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  <w:rtl w:val="true"/>
        </w:rPr>
        <w:t xml:space="preserve">  </w:t>
      </w:r>
    </w:p>
    <w:p>
      <w:pPr>
        <w:pStyle w:val="ListParagraph"/>
        <w:bidi w:val="1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  <w:rtl w:val="true"/>
        </w:rPr>
        <w:t xml:space="preserve"> </w:t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ind w:left="720" w:hanging="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left"/>
        <w:rPr/>
      </w:pPr>
      <w:r>
        <w:rPr>
          <w:b/>
          <w:b/>
          <w:bCs/>
          <w:sz w:val="32"/>
          <w:sz w:val="32"/>
          <w:szCs w:val="32"/>
          <w:rtl w:val="true"/>
        </w:rPr>
        <w:t xml:space="preserve">الضرائب  المتقدمة  </w:t>
      </w:r>
      <w:r>
        <w:rPr>
          <w:b/>
          <w:bCs/>
          <w:sz w:val="32"/>
          <w:szCs w:val="32"/>
        </w:rPr>
        <w:t>p6                                      Advanced Taxation</w:t>
      </w:r>
      <w:r>
        <w:rPr>
          <w:b/>
          <w:bCs/>
          <w:sz w:val="32"/>
          <w:szCs w:val="32"/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  <w:rtl w:val="true"/>
        </w:rPr>
        <w:t xml:space="preserve"> – </w:t>
      </w:r>
      <w:r>
        <w:rPr>
          <w:b/>
          <w:b/>
          <w:bCs/>
          <w:sz w:val="28"/>
          <w:sz w:val="28"/>
          <w:szCs w:val="28"/>
          <w:rtl w:val="true"/>
        </w:rPr>
        <w:t xml:space="preserve">مجال طريقة الدخل </w:t>
      </w:r>
    </w:p>
    <w:p>
      <w:pPr>
        <w:pStyle w:val="ListParagraph"/>
        <w:numPr>
          <w:ilvl w:val="0"/>
          <w:numId w:val="15"/>
        </w:numPr>
        <w:bidi w:val="1"/>
        <w:jc w:val="left"/>
        <w:rPr/>
      </w:pPr>
      <w:r>
        <w:rPr>
          <w:b/>
          <w:b/>
          <w:bCs/>
          <w:sz w:val="28"/>
          <w:sz w:val="28"/>
          <w:szCs w:val="28"/>
          <w:rtl w:val="true"/>
        </w:rPr>
        <w:t xml:space="preserve">الدخل  من  العمل </w:t>
      </w:r>
    </w:p>
    <w:p>
      <w:pPr>
        <w:pStyle w:val="ListParagraph"/>
        <w:numPr>
          <w:ilvl w:val="0"/>
          <w:numId w:val="15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الدخل من  العمل الخاص  </w:t>
      </w:r>
    </w:p>
    <w:p>
      <w:pPr>
        <w:pStyle w:val="ListParagraph"/>
        <w:numPr>
          <w:ilvl w:val="0"/>
          <w:numId w:val="15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>الممتلكات  والدخل  الأستثمارى</w:t>
      </w:r>
    </w:p>
    <w:p>
      <w:pPr>
        <w:pStyle w:val="ListParagraph"/>
        <w:numPr>
          <w:ilvl w:val="0"/>
          <w:numId w:val="15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الأحتساب  الشامل  للدخل  الخاضع  للضريبة  والألتزام  الضريبي  للدخل  </w:t>
      </w:r>
    </w:p>
    <w:p>
      <w:pPr>
        <w:pStyle w:val="ListParagraph"/>
        <w:numPr>
          <w:ilvl w:val="0"/>
          <w:numId w:val="15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استخدام  الأعفاءات  الضريبة  لتأجيل  أو  تخفيض  الألتزام  الضريبي 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  <w:rtl w:val="true"/>
        </w:rPr>
        <w:t xml:space="preserve"> – </w:t>
      </w:r>
      <w:r>
        <w:rPr>
          <w:b/>
          <w:b/>
          <w:bCs/>
          <w:sz w:val="28"/>
          <w:sz w:val="28"/>
          <w:szCs w:val="28"/>
          <w:rtl w:val="true"/>
        </w:rPr>
        <w:t xml:space="preserve">الألتزام الضريبي لارباح الأعمال 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sz w:val="28"/>
          <w:szCs w:val="28"/>
          <w:rtl w:val="true"/>
        </w:rPr>
        <w:t xml:space="preserve"> </w:t>
      </w:r>
      <w:r>
        <w:rPr>
          <w:sz w:val="28"/>
          <w:sz w:val="28"/>
          <w:szCs w:val="28"/>
          <w:rtl w:val="true"/>
        </w:rPr>
        <w:t xml:space="preserve">مجال  ضريبة  أرباح  الأعمال 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الربح  الأجمالي  الخاضع   للضريبة 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الأحتساب  الشامل  الالتزام  الضريبي  لارباح  الأعمال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تأثير  هيكل  المجموعة  على  اغراض ضريبية  ارباح  الأعمال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انصح  بتوزيع  مخصصات  الأستثمار بين  المجموعة  والشركات  ذات  الصلة  </w:t>
      </w:r>
    </w:p>
    <w:p>
      <w:pPr>
        <w:pStyle w:val="ListParagraph"/>
        <w:numPr>
          <w:ilvl w:val="0"/>
          <w:numId w:val="16"/>
        </w:numPr>
        <w:bidi w:val="1"/>
        <w:jc w:val="left"/>
        <w:rPr/>
      </w:pPr>
      <w:r>
        <w:rPr>
          <w:sz w:val="28"/>
          <w:sz w:val="28"/>
          <w:szCs w:val="28"/>
          <w:rtl w:val="true"/>
        </w:rPr>
        <w:t xml:space="preserve">انصح  للنتائج  الضريبية  من  تحويل  الأوصول  غير  الملموسة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5</w:t>
      </w:r>
      <w:r>
        <w:rPr>
          <w:sz w:val="28"/>
          <w:sz w:val="28"/>
          <w:szCs w:val="28"/>
          <w:rtl w:val="true"/>
        </w:rPr>
        <w:t xml:space="preserve">ـ استخدام الاعفاء لتاجيل وتخفيض الالتزام لضربية الأرباح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2</w:t>
      </w:r>
      <w:r>
        <w:rPr>
          <w:sz w:val="28"/>
          <w:sz w:val="28"/>
          <w:szCs w:val="28"/>
          <w:rtl w:val="true"/>
        </w:rPr>
        <w:t xml:space="preserve">ـ المكاسب الخاضعة للضربية والالتزام الضربي للمكاسب الراسمالية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1</w:t>
      </w:r>
      <w:r>
        <w:rPr>
          <w:sz w:val="28"/>
          <w:sz w:val="28"/>
          <w:szCs w:val="28"/>
          <w:rtl w:val="true"/>
        </w:rPr>
        <w:t xml:space="preserve">ـ مجال الضربية للمكاسب الراسمالية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2</w:t>
      </w:r>
      <w:r>
        <w:rPr>
          <w:sz w:val="28"/>
          <w:sz w:val="28"/>
          <w:szCs w:val="28"/>
          <w:rtl w:val="true"/>
        </w:rPr>
        <w:t xml:space="preserve">ـ المكاسب الراسمالية علي ممتلكات الأمانة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</w:rPr>
        <w:t>3</w:t>
      </w:r>
      <w:r>
        <w:rPr>
          <w:b/>
          <w:b/>
          <w:bCs/>
          <w:sz w:val="28"/>
          <w:sz w:val="28"/>
          <w:szCs w:val="28"/>
          <w:rtl w:val="true"/>
        </w:rPr>
        <w:t xml:space="preserve">ـ المبادي الأساسية لاحتساب المكاسب والخسائر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</w:rPr>
        <w:t>4</w:t>
      </w:r>
      <w:r>
        <w:rPr>
          <w:b/>
          <w:b/>
          <w:bCs/>
          <w:sz w:val="28"/>
          <w:sz w:val="28"/>
          <w:szCs w:val="28"/>
          <w:rtl w:val="true"/>
        </w:rPr>
        <w:t xml:space="preserve">ـ المكاسب والخسائر ببيع الممتلكات المنقولة وغير المنقولة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5</w:t>
      </w:r>
      <w:r>
        <w:rPr>
          <w:sz w:val="28"/>
          <w:sz w:val="28"/>
          <w:szCs w:val="28"/>
          <w:rtl w:val="true"/>
        </w:rPr>
        <w:t>ـ المكاسب والخسائر لبيع الأسهم والسندات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6</w:t>
      </w:r>
      <w:r>
        <w:rPr>
          <w:sz w:val="28"/>
          <w:sz w:val="28"/>
          <w:szCs w:val="28"/>
          <w:rtl w:val="true"/>
        </w:rPr>
        <w:t>ـ استخدام الإعفاءات لتاجيل وتخفيض الالتزام الضريبي الناتج عن بيع الأصول الراسمالية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1</w:t>
      </w:r>
      <w:r>
        <w:rPr>
          <w:sz w:val="28"/>
          <w:sz w:val="28"/>
          <w:szCs w:val="28"/>
          <w:rtl w:val="true"/>
        </w:rPr>
        <w:t xml:space="preserve">ـ مجال ضربية الميراث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2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المبادئ  الأساسية  لاحتساب تحويل  القيمة 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الألتزامات  الناشئة  للضريبة  على  التحاويل  خلال  الحياة  وعند  وفاة  الشخص 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لألتزام  الناشئ  فيما  يتعلق  بالتحاويل  من  وإلى  بضاعة  الأمانة  </w:t>
      </w:r>
      <w:r>
        <w:rPr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6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نظام  إدارة  ضريبة  الميراث  متضمناً  خيار  الأقساط  لدفع  الضريبة  </w:t>
      </w:r>
      <w:r>
        <w:rPr>
          <w:sz w:val="28"/>
          <w:szCs w:val="28"/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  <w:rtl w:val="true"/>
        </w:rPr>
        <w:t xml:space="preserve"> – </w:t>
      </w:r>
      <w:r>
        <w:rPr>
          <w:b/>
          <w:b/>
          <w:bCs/>
          <w:sz w:val="32"/>
          <w:sz w:val="32"/>
          <w:szCs w:val="32"/>
          <w:rtl w:val="true"/>
        </w:rPr>
        <w:t xml:space="preserve">ضرائب  الدفعة  </w:t>
      </w:r>
    </w:p>
    <w:p>
      <w:pPr>
        <w:pStyle w:val="ListParagraph"/>
        <w:numPr>
          <w:ilvl w:val="0"/>
          <w:numId w:val="1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مجال ضريبة  الدمغة </w:t>
      </w:r>
      <w:r>
        <w:rPr>
          <w:sz w:val="28"/>
          <w:szCs w:val="28"/>
          <w:rtl w:val="true"/>
        </w:rPr>
        <w:t>:</w:t>
      </w:r>
    </w:p>
    <w:p>
      <w:pPr>
        <w:pStyle w:val="ListParagraph"/>
        <w:numPr>
          <w:ilvl w:val="0"/>
          <w:numId w:val="17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حدد  وانصح  فيما  يخص  الألتزامات  الناشئة  عن  التحويلات  </w:t>
      </w:r>
      <w:r>
        <w:rPr>
          <w:sz w:val="28"/>
          <w:szCs w:val="28"/>
          <w:rtl w:val="true"/>
        </w:rPr>
        <w:t>: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3</w:t>
      </w:r>
      <w:r>
        <w:rPr>
          <w:sz w:val="28"/>
          <w:szCs w:val="28"/>
          <w:rtl w:val="true"/>
        </w:rPr>
        <w:t xml:space="preserve">- </w:t>
      </w:r>
      <w:r>
        <w:rPr>
          <w:sz w:val="28"/>
          <w:sz w:val="28"/>
          <w:szCs w:val="28"/>
          <w:rtl w:val="true"/>
        </w:rPr>
        <w:t xml:space="preserve">استخدام  الإعفاءات  لتاجيل  وتخفيض  ضريبة  الدمغة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4</w:t>
      </w:r>
      <w:r>
        <w:rPr>
          <w:sz w:val="28"/>
          <w:szCs w:val="28"/>
          <w:rtl w:val="true"/>
        </w:rPr>
        <w:t>-</w:t>
      </w:r>
      <w:r>
        <w:rPr>
          <w:sz w:val="28"/>
          <w:sz w:val="28"/>
          <w:szCs w:val="28"/>
          <w:rtl w:val="true"/>
        </w:rPr>
        <w:t xml:space="preserve">أفهم  واشرح  نظام  إدارة  ضرائب  الدمغة </w:t>
      </w:r>
      <w:r>
        <w:rPr>
          <w:sz w:val="28"/>
          <w:szCs w:val="28"/>
          <w:rtl w:val="true"/>
        </w:rPr>
        <w:t>: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F</w:t>
      </w:r>
      <w:r>
        <w:rPr>
          <w:sz w:val="28"/>
          <w:szCs w:val="28"/>
          <w:rtl w:val="true"/>
        </w:rPr>
        <w:t xml:space="preserve"> – </w:t>
      </w:r>
      <w:r>
        <w:rPr>
          <w:sz w:val="28"/>
          <w:sz w:val="28"/>
          <w:szCs w:val="28"/>
          <w:rtl w:val="true"/>
        </w:rPr>
        <w:t xml:space="preserve">التأمينات  الأجتماعية  ، ضرييبة  القيمة  المضافة  ، إدارة  الضرائب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  <w:rtl w:val="true"/>
        </w:rPr>
        <w:t xml:space="preserve"> – </w:t>
      </w:r>
      <w:r>
        <w:rPr>
          <w:b/>
          <w:b/>
          <w:bCs/>
          <w:sz w:val="28"/>
          <w:sz w:val="28"/>
          <w:szCs w:val="28"/>
          <w:rtl w:val="true"/>
        </w:rPr>
        <w:t xml:space="preserve">تأثير  الضرائب  ذات  الصلة  على  مختلف  الأوضاع 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  <w:rtl w:val="true"/>
        </w:rPr>
        <w:t xml:space="preserve"> -  </w:t>
      </w:r>
      <w:r>
        <w:rPr>
          <w:b/>
          <w:b/>
          <w:bCs/>
          <w:sz w:val="28"/>
          <w:sz w:val="28"/>
          <w:szCs w:val="28"/>
          <w:rtl w:val="true"/>
        </w:rPr>
        <w:t xml:space="preserve">تخفيض او  تأجيل  الالتزامات  الضريبية  بإستخدام  التخطيط الضريبي </w:t>
      </w:r>
    </w:p>
    <w:p>
      <w:pPr>
        <w:pStyle w:val="Normal"/>
        <w:bidi w:val="1"/>
        <w:ind w:left="360" w:hanging="0"/>
        <w:jc w:val="left"/>
        <w:rPr/>
      </w:pPr>
      <w:r>
        <w:rPr>
          <w:sz w:val="28"/>
          <w:szCs w:val="28"/>
        </w:rPr>
        <w:t>I</w:t>
      </w:r>
      <w:r>
        <w:rPr>
          <w:sz w:val="28"/>
          <w:szCs w:val="28"/>
          <w:rtl w:val="true"/>
        </w:rPr>
        <w:t xml:space="preserve">  -  </w:t>
      </w:r>
      <w:r>
        <w:rPr>
          <w:sz w:val="28"/>
          <w:sz w:val="28"/>
          <w:szCs w:val="28"/>
          <w:rtl w:val="true"/>
        </w:rPr>
        <w:t xml:space="preserve">الأتصال والتواصل  مع  الضرائب  والجهات  الأخرى  </w:t>
      </w:r>
    </w:p>
    <w:p>
      <w:pPr>
        <w:pStyle w:val="ListParagraph"/>
        <w:numPr>
          <w:ilvl w:val="0"/>
          <w:numId w:val="1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الأتصال  ، التوصيات  ، المعلومات حسب  الشكل  المطلوب  مثلاً </w:t>
      </w:r>
      <w:r>
        <w:rPr>
          <w:sz w:val="28"/>
          <w:szCs w:val="28"/>
          <w:rtl w:val="true"/>
        </w:rPr>
        <w:t>:</w:t>
      </w:r>
    </w:p>
    <w:p>
      <w:pPr>
        <w:pStyle w:val="ListParagraph"/>
        <w:numPr>
          <w:ilvl w:val="0"/>
          <w:numId w:val="1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اعرض المعلومات المكتوبة  في لغة مناسبة  للفرض وللشخص المرسلة  له  </w:t>
      </w:r>
    </w:p>
    <w:p>
      <w:pPr>
        <w:pStyle w:val="ListParagraph"/>
        <w:numPr>
          <w:ilvl w:val="0"/>
          <w:numId w:val="1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أصل  النتائج  المطلوبة  مؤيدة  بالأرقام  او  الحسابات  المطلوبة  </w:t>
      </w:r>
    </w:p>
    <w:p>
      <w:pPr>
        <w:pStyle w:val="ListParagraph"/>
        <w:numPr>
          <w:ilvl w:val="0"/>
          <w:numId w:val="1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وضح  واشرح  الأفتراضات  او  القصور  في التحليل مع  توضيح  عدم  كفاية  </w:t>
      </w:r>
    </w:p>
    <w:p>
      <w:pPr>
        <w:pStyle w:val="ListParagraph"/>
        <w:numPr>
          <w:ilvl w:val="0"/>
          <w:numId w:val="18"/>
        </w:numPr>
        <w:bidi w:val="1"/>
        <w:spacing w:lineRule="auto" w:line="254" w:before="0" w:after="160"/>
        <w:contextualSpacing/>
        <w:jc w:val="left"/>
        <w:rPr/>
      </w:pPr>
      <w:r>
        <w:rPr>
          <w:sz w:val="28"/>
          <w:sz w:val="28"/>
          <w:szCs w:val="28"/>
          <w:rtl w:val="true"/>
        </w:rPr>
        <w:t xml:space="preserve">حدد  واشرح  العوامل الأخرى  غير  الضريبية  التي  يمكن  وصفها  في  الأعتبار </w:t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spacing w:lineRule="auto" w:line="254" w:before="0" w:after="160"/>
        <w:jc w:val="left"/>
        <w:rPr>
          <w:sz w:val="28"/>
          <w:szCs w:val="28"/>
        </w:rPr>
      </w:pPr>
      <w:r>
        <w:rPr>
          <w:sz w:val="28"/>
          <w:szCs w:val="28"/>
          <w:rtl w:val="true"/>
        </w:rPr>
      </w:r>
    </w:p>
    <w:p>
      <w:pPr>
        <w:pStyle w:val="Normal"/>
        <w:bidi w:val="1"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المــراجعة المـتقدمة والتوكيد </w:t>
      </w:r>
      <w:r>
        <w:rPr>
          <w:b/>
          <w:bCs/>
          <w:sz w:val="28"/>
          <w:szCs w:val="28"/>
        </w:rPr>
        <w:t xml:space="preserve">P7     </w:t>
      </w:r>
      <w:r>
        <w:rPr>
          <w:rFonts w:cs="Times New Roman"/>
          <w:b/>
          <w:bCs/>
          <w:sz w:val="32"/>
          <w:szCs w:val="32"/>
        </w:rPr>
        <w:t xml:space="preserve">      Advanced Audit and Assurance</w:t>
      </w:r>
      <w:r>
        <w:rPr>
          <w:rFonts w:cs="Times New Roman"/>
          <w:b/>
          <w:bCs/>
          <w:sz w:val="32"/>
          <w:szCs w:val="32"/>
          <w:rtl w:val="true"/>
        </w:rPr>
        <w:t xml:space="preserve">                                                      </w:t>
      </w:r>
    </w:p>
    <w:p>
      <w:pPr>
        <w:pStyle w:val="Normal"/>
        <w:bidi w:val="1"/>
        <w:ind w:left="360" w:hanging="0"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المـــحتويات</w:t>
      </w:r>
    </w:p>
    <w:p>
      <w:pPr>
        <w:pStyle w:val="ListParagraph"/>
        <w:numPr>
          <w:ilvl w:val="0"/>
          <w:numId w:val="19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الــبيئة النـــظامية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</w:rPr>
        <w:t>1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ـ  هيكل التنظيم الدولي للمراجعة وخدمات التوكيد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2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 غسيل الأموال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3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القوانين والنظم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B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الأهتمامات الأخلاقية والمهنية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1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مواثيق الاخلاق والسلوك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2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الأخطاء والاحتيال </w:t>
      </w:r>
    </w:p>
    <w:p>
      <w:pPr>
        <w:pStyle w:val="Normal"/>
        <w:bidi w:val="1"/>
        <w:jc w:val="left"/>
        <w:rPr/>
      </w:pPr>
      <w:r>
        <w:rPr>
          <w:b/>
          <w:bCs/>
          <w:sz w:val="28"/>
          <w:szCs w:val="28"/>
        </w:rPr>
        <w:t>3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ـ الالتزام المهني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  <w:rtl w:val="true"/>
        </w:rPr>
        <w:t xml:space="preserve">.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إدارة الممـــارسة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1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رقابة الجودة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2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ـ الدعاية والاعلان</w:t>
      </w:r>
      <w:r>
        <w:rPr>
          <w:b/>
          <w:b/>
          <w:bCs/>
          <w:sz w:val="32"/>
          <w:sz w:val="32"/>
          <w:szCs w:val="32"/>
          <w:rtl w:val="true"/>
        </w:rPr>
        <w:t xml:space="preserve">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،الحصول علي العمل </w:t>
      </w:r>
    </w:p>
    <w:p>
      <w:pPr>
        <w:pStyle w:val="Normal"/>
        <w:bidi w:val="1"/>
        <w:jc w:val="left"/>
        <w:rPr/>
      </w:pPr>
      <w:r>
        <w:rPr>
          <w:b/>
          <w:bCs/>
          <w:sz w:val="32"/>
          <w:szCs w:val="32"/>
        </w:rPr>
        <w:t>3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ـ تقديم عروض للمراجعة وغيرها من الخدمات </w:t>
      </w:r>
    </w:p>
    <w:p>
      <w:pPr>
        <w:pStyle w:val="Normal"/>
        <w:bidi w:val="1"/>
        <w:jc w:val="left"/>
        <w:rPr/>
      </w:pPr>
      <w:r>
        <w:rPr>
          <w:sz w:val="28"/>
          <w:szCs w:val="28"/>
        </w:rPr>
        <w:t>4</w:t>
      </w:r>
      <w:r>
        <w:rPr>
          <w:b/>
          <w:bCs/>
          <w:sz w:val="28"/>
          <w:szCs w:val="28"/>
          <w:rtl w:val="true"/>
        </w:rPr>
        <w:t xml:space="preserve">-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التعيين  المهنى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  <w:rtl w:val="true"/>
        </w:rPr>
        <w:t xml:space="preserve"> –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>مــراجعة المــعلومات المــالية التــاريخية</w:t>
      </w:r>
      <w:r>
        <w:rPr>
          <w:b/>
          <w:b/>
          <w:bCs/>
          <w:sz w:val="32"/>
          <w:sz w:val="32"/>
          <w:szCs w:val="32"/>
          <w:rtl w:val="true"/>
        </w:rPr>
        <w:t xml:space="preserve">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التخطيط  ، الأهمية  النسبية  ، وتقييم  مخــاطر التـحريفات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أدلــة المراجعة  </w:t>
      </w:r>
    </w:p>
    <w:p>
      <w:pPr>
        <w:pStyle w:val="ListParagraph"/>
        <w:numPr>
          <w:ilvl w:val="0"/>
          <w:numId w:val="20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التقسيم  والفــحص </w:t>
      </w:r>
    </w:p>
    <w:p>
      <w:pPr>
        <w:pStyle w:val="Normal"/>
        <w:bidi w:val="1"/>
        <w:ind w:left="360" w:hanging="0"/>
        <w:jc w:val="left"/>
        <w:rPr/>
      </w:pP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  <w:rtl w:val="true"/>
        </w:rPr>
        <w:t xml:space="preserve"> .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المهام الأخرى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الخدمات  ذات  الصلة  بعملية  المراجعة </w:t>
      </w:r>
      <w:r>
        <w:rPr>
          <w:sz w:val="32"/>
          <w:sz w:val="32"/>
          <w:szCs w:val="32"/>
          <w:rtl w:val="true"/>
        </w:rPr>
        <w:t xml:space="preserve">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خدمات  التأكد 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المعلومات  المالية  المحتملة </w:t>
      </w:r>
      <w:r>
        <w:rPr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المراجعة  الشرعية  او  القضائية 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Cs/>
          <w:sz w:val="32"/>
          <w:szCs w:val="32"/>
          <w:rtl w:val="true"/>
        </w:rPr>
        <w:t xml:space="preserve">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المراجعة  الداخلية  </w:t>
      </w:r>
    </w:p>
    <w:p>
      <w:pPr>
        <w:pStyle w:val="Normal"/>
        <w:bidi w:val="1"/>
        <w:ind w:left="360" w:hanging="0"/>
        <w:jc w:val="left"/>
        <w:rPr/>
      </w:pPr>
      <w:r>
        <w:rPr>
          <w:sz w:val="32"/>
          <w:szCs w:val="32"/>
          <w:rtl w:val="true"/>
        </w:rPr>
        <w:t xml:space="preserve">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اسناد  المهام  لجهة  خارجية  </w:t>
      </w:r>
      <w:r>
        <w:rPr>
          <w:b/>
          <w:b/>
          <w:bCs/>
          <w:sz w:val="32"/>
          <w:sz w:val="32"/>
          <w:szCs w:val="32"/>
          <w:rtl w:val="true"/>
        </w:rPr>
        <w:t xml:space="preserve">    </w:t>
      </w:r>
    </w:p>
    <w:p>
      <w:pPr>
        <w:pStyle w:val="ListParagraph"/>
        <w:numPr>
          <w:ilvl w:val="0"/>
          <w:numId w:val="21"/>
        </w:numPr>
        <w:bidi w:val="1"/>
        <w:spacing w:lineRule="auto" w:line="254" w:before="0" w:after="160"/>
        <w:contextualSpacing/>
        <w:jc w:val="left"/>
        <w:rPr/>
      </w:pPr>
      <w:r>
        <w:rPr>
          <w:sz w:val="32"/>
          <w:szCs w:val="32"/>
          <w:rtl w:val="true"/>
        </w:rPr>
        <w:t xml:space="preserve">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أوجه  مراجعة  الأخلاص  والأجراءات  المشابهة  </w:t>
      </w:r>
    </w:p>
    <w:p>
      <w:pPr>
        <w:pStyle w:val="Normal"/>
        <w:tabs>
          <w:tab w:val="left" w:pos="971" w:leader="none"/>
        </w:tabs>
        <w:bidi w:val="1"/>
        <w:ind w:left="360" w:hanging="0"/>
        <w:jc w:val="left"/>
        <w:rPr/>
      </w:pPr>
      <w:r>
        <w:rPr>
          <w:sz w:val="32"/>
          <w:szCs w:val="32"/>
        </w:rPr>
        <w:t>F</w:t>
      </w:r>
      <w:r>
        <w:rPr>
          <w:b/>
          <w:bCs/>
          <w:sz w:val="36"/>
          <w:szCs w:val="36"/>
          <w:rtl w:val="true"/>
        </w:rPr>
        <w:t xml:space="preserve">- </w:t>
      </w:r>
      <w:r>
        <w:rPr>
          <w:rFonts w:cs="Times New Roman"/>
          <w:b/>
          <w:b/>
          <w:bCs/>
          <w:sz w:val="34"/>
          <w:sz w:val="34"/>
          <w:szCs w:val="34"/>
          <w:rtl w:val="true"/>
        </w:rPr>
        <w:t>التقارير</w:t>
      </w:r>
      <w:r>
        <w:rPr>
          <w:b/>
          <w:b/>
          <w:bCs/>
          <w:sz w:val="34"/>
          <w:sz w:val="34"/>
          <w:szCs w:val="34"/>
          <w:rtl w:val="true"/>
        </w:rPr>
        <w:t xml:space="preserve"> </w:t>
      </w:r>
    </w:p>
    <w:p>
      <w:pPr>
        <w:pStyle w:val="ListParagraph"/>
        <w:numPr>
          <w:ilvl w:val="0"/>
          <w:numId w:val="22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sz w:val="28"/>
          <w:szCs w:val="28"/>
          <w:rtl w:val="true"/>
        </w:rPr>
        <w:t xml:space="preserve">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تقارير  المراجع  الخارجى  </w:t>
      </w:r>
    </w:p>
    <w:p>
      <w:pPr>
        <w:pStyle w:val="ListParagraph"/>
        <w:numPr>
          <w:ilvl w:val="0"/>
          <w:numId w:val="22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تقارير  للأدارة  والمسئولين  عن  الحكومة  </w:t>
      </w:r>
    </w:p>
    <w:p>
      <w:pPr>
        <w:pStyle w:val="ListParagraph"/>
        <w:numPr>
          <w:ilvl w:val="0"/>
          <w:numId w:val="22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Cs/>
          <w:sz w:val="28"/>
          <w:szCs w:val="28"/>
          <w:rtl w:val="true"/>
        </w:rPr>
        <w:t xml:space="preserve"> </w:t>
      </w: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التقارير  الأخرى </w:t>
      </w:r>
    </w:p>
    <w:p>
      <w:pPr>
        <w:pStyle w:val="Normal"/>
        <w:tabs>
          <w:tab w:val="left" w:pos="971" w:leader="none"/>
        </w:tabs>
        <w:bidi w:val="1"/>
        <w:jc w:val="left"/>
        <w:rPr/>
      </w:pPr>
      <w:r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  <w:rtl w:val="true"/>
        </w:rPr>
        <w:t xml:space="preserve"> –</w:t>
      </w:r>
      <w:r>
        <w:rPr>
          <w:rFonts w:cs="Times New Roman"/>
          <w:b/>
          <w:bCs/>
          <w:sz w:val="32"/>
          <w:szCs w:val="32"/>
          <w:rtl w:val="true"/>
        </w:rPr>
        <w:t xml:space="preserve"> 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القضايا  الحديثة  والتطور </w:t>
      </w:r>
    </w:p>
    <w:p>
      <w:pPr>
        <w:pStyle w:val="ListParagraph"/>
        <w:numPr>
          <w:ilvl w:val="0"/>
          <w:numId w:val="1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sz w:val="32"/>
          <w:szCs w:val="32"/>
          <w:rtl w:val="true"/>
        </w:rPr>
        <w:t xml:space="preserve"> </w:t>
      </w: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المهنية  والأخلاق  </w:t>
      </w:r>
    </w:p>
    <w:p>
      <w:pPr>
        <w:pStyle w:val="ListParagraph"/>
        <w:numPr>
          <w:ilvl w:val="0"/>
          <w:numId w:val="1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28"/>
          <w:sz w:val="28"/>
          <w:szCs w:val="28"/>
          <w:rtl w:val="true"/>
        </w:rPr>
        <w:t xml:space="preserve">تكنلوجيا  المعلومات  </w:t>
      </w:r>
    </w:p>
    <w:p>
      <w:pPr>
        <w:pStyle w:val="ListParagraph"/>
        <w:numPr>
          <w:ilvl w:val="0"/>
          <w:numId w:val="1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المراجعة  لما  وراء  الحدود  </w:t>
      </w:r>
    </w:p>
    <w:p>
      <w:pPr>
        <w:pStyle w:val="ListParagraph"/>
        <w:numPr>
          <w:ilvl w:val="0"/>
          <w:numId w:val="1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/>
      </w:pPr>
      <w:r>
        <w:rPr>
          <w:rFonts w:cs="Times New Roman"/>
          <w:b/>
          <w:b/>
          <w:bCs/>
          <w:sz w:val="32"/>
          <w:sz w:val="32"/>
          <w:szCs w:val="32"/>
          <w:rtl w:val="true"/>
        </w:rPr>
        <w:t xml:space="preserve">المراجعة  الأجتماعية  والبيئة  </w:t>
      </w:r>
    </w:p>
    <w:p>
      <w:pPr>
        <w:pStyle w:val="ListParagraph"/>
        <w:numPr>
          <w:ilvl w:val="0"/>
          <w:numId w:val="1"/>
        </w:numPr>
        <w:tabs>
          <w:tab w:val="left" w:pos="971" w:leader="none"/>
        </w:tabs>
        <w:bidi w:val="1"/>
        <w:spacing w:lineRule="auto" w:line="254" w:before="0" w:after="1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32"/>
          <w:szCs w:val="32"/>
          <w:rtl w:val="true"/>
        </w:rPr>
        <w:t xml:space="preserve"> </w:t>
      </w:r>
      <w:r>
        <w:rPr>
          <w:rFonts w:ascii="Times New Roman" w:hAnsi="Times New Roman" w:cs="Times New Roman"/>
          <w:b/>
          <w:b/>
          <w:bCs/>
          <w:sz w:val="32"/>
          <w:sz w:val="32"/>
          <w:szCs w:val="32"/>
          <w:rtl w:val="true"/>
        </w:rPr>
        <w:t xml:space="preserve">قضايا  حديثة  أحزن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3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4">
    <w:lvl w:ilvl="0">
      <w:start w:val="1"/>
      <w:numFmt w:val="decimal"/>
      <w:lvlText w:val="%1-"/>
      <w:lvlJc w:val="left"/>
      <w:pPr>
        <w:ind w:left="108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5">
    <w:lvl w:ilvl="0">
      <w:start w:val="1"/>
      <w:numFmt w:val="decimal"/>
      <w:lvlText w:val="%1-"/>
      <w:lvlJc w:val="left"/>
      <w:pPr>
        <w:ind w:left="108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6">
    <w:lvl w:ilvl="0">
      <w:start w:val="1"/>
      <w:numFmt w:val="decimal"/>
      <w:lvlText w:val="%1-"/>
      <w:lvlJc w:val="left"/>
      <w:pPr>
        <w:ind w:left="108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7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8">
    <w:lvl w:ilvl="0">
      <w:start w:val="1"/>
      <w:numFmt w:val="upperLetter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9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0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1">
    <w:lvl w:ilvl="0">
      <w:start w:val="1"/>
      <w:numFmt w:val="decimal"/>
      <w:lvlText w:val="%1-"/>
      <w:lvlJc w:val="left"/>
      <w:pPr>
        <w:ind w:left="90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2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3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4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5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6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7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8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19">
    <w:lvl w:ilvl="0">
      <w:start w:val="1"/>
      <w:numFmt w:val="upperLetter"/>
      <w:lvlText w:val="%1."/>
      <w:lvlJc w:val="left"/>
      <w:pPr>
        <w:ind w:left="360" w:hanging="0"/>
      </w:pPr>
    </w:lvl>
    <w:lvl w:ilvl="1">
      <w:start w:val="1"/>
      <w:numFmt w:val="decimal"/>
      <w:lvlText w:val="%2.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180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decimal"/>
      <w:lvlText w:val="%5."/>
      <w:lvlJc w:val="left"/>
      <w:pPr>
        <w:ind w:left="3240" w:hanging="0"/>
      </w:pPr>
    </w:lvl>
    <w:lvl w:ilvl="5">
      <w:start w:val="1"/>
      <w:numFmt w:val="decimal"/>
      <w:lvlText w:val="%6."/>
      <w:lvlJc w:val="left"/>
      <w:pPr>
        <w:ind w:left="396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decimal"/>
      <w:lvlText w:val="%8."/>
      <w:lvlJc w:val="left"/>
      <w:pPr>
        <w:ind w:left="5400" w:hanging="0"/>
      </w:pPr>
    </w:lvl>
    <w:lvl w:ilvl="8">
      <w:start w:val="1"/>
      <w:numFmt w:val="decimal"/>
      <w:lvlText w:val="%9."/>
      <w:lvlJc w:val="left"/>
      <w:pPr>
        <w:ind w:left="6120" w:hanging="0"/>
      </w:pPr>
    </w:lvl>
  </w:abstractNum>
  <w:abstractNum w:abstractNumId="20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1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2">
    <w:lvl w:ilvl="0">
      <w:start w:val="1"/>
      <w:numFmt w:val="decimal"/>
      <w:lvlText w:val="%1-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Noto Sans CJK SC Regular" w:cs="Lohit Devanagari"/>
      <w:b/>
      <w:bCs/>
      <w:sz w:val="20"/>
      <w:szCs w:val="20"/>
    </w:rPr>
  </w:style>
  <w:style w:type="character" w:styleId="ListLabel5">
    <w:name w:val="ListLabel 5"/>
    <w:qFormat/>
    <w:rPr>
      <w:rFonts w:eastAsia="Times New Roman" w:cs="Arial"/>
      <w:b/>
      <w:sz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1">
    <w:name w:val="ListLabel 1"/>
    <w:qFormat/>
    <w:rPr>
      <w:sz w:val="28"/>
      <w:lang w:bidi="ar-SA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317</TotalTime>
  <Application>LibreOffice/5.4.5.1$Linux_X86_64 LibreOffice_project/40m0$Build-1</Application>
  <Pages>6</Pages>
  <Words>859</Words>
  <Characters>4769</Characters>
  <CharactersWithSpaces>6139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2018-03-29T14:26:58Z</dcterms:created>
  <dc:creator/>
  <dc:description/>
  <dc:language>en-US</dc:language>
  <cp:lastModifiedBy/>
  <dcterms:modified xsi:type="dcterms:W3CDTF">2018-03-29T19:44:59Z</dcterms:modified>
  <cp:revision>3</cp:revision>
  <dc:subject/>
  <dc:title/>
</cp:coreProperties>
</file>